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3ACB7" w14:textId="77777777" w:rsidR="00355B66" w:rsidRDefault="00C56BE8" w:rsidP="00C56BE8">
      <w:pPr>
        <w:pStyle w:val="Heading1"/>
        <w:spacing w:before="0"/>
      </w:pPr>
      <w:r>
        <w:t>Complete SPA Transaction Playbook – Implementation Guide</w:t>
      </w:r>
    </w:p>
    <w:p w14:paraId="48C5B55B" w14:textId="77777777" w:rsidR="00355B66" w:rsidRDefault="00C56BE8">
      <w:r>
        <w:t>Course 4-2: SPA Mastery – Redlines, Risk Allocation &amp; Closing Control</w:t>
      </w:r>
    </w:p>
    <w:p w14:paraId="63CB4BD5" w14:textId="77777777" w:rsidR="00355B66" w:rsidRDefault="00C56BE8">
      <w:r>
        <w:t>Case Study: JCinus Partners Capital (Buyer) acquiring Micron Technology DRAM Division (Seller) via Stock Purchase Agreement (Share Deal).</w:t>
      </w:r>
    </w:p>
    <w:p w14:paraId="09291A2D" w14:textId="77777777" w:rsidR="00355B66" w:rsidRDefault="00C56BE8">
      <w:r>
        <w:t>Purpose: Integrated operating system to run a transaction from term sheet through signing, closing, and post-closing monitoring.</w:t>
      </w:r>
    </w:p>
    <w:p w14:paraId="08DDE420" w14:textId="77777777" w:rsidR="00355B66" w:rsidRDefault="00C56BE8">
      <w:pPr>
        <w:pStyle w:val="Heading2"/>
      </w:pPr>
      <w:r>
        <w:t>Package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355B66" w14:paraId="1419DEF9" w14:textId="77777777">
        <w:tc>
          <w:tcPr>
            <w:tcW w:w="2160" w:type="dxa"/>
          </w:tcPr>
          <w:p w14:paraId="438566CF" w14:textId="77777777" w:rsidR="00355B66" w:rsidRDefault="00C56BE8">
            <w:r>
              <w:t>Deliverable</w:t>
            </w:r>
          </w:p>
        </w:tc>
        <w:tc>
          <w:tcPr>
            <w:tcW w:w="2160" w:type="dxa"/>
          </w:tcPr>
          <w:p w14:paraId="6FC5DC1A" w14:textId="77777777" w:rsidR="00355B66" w:rsidRDefault="00C56BE8">
            <w:r>
              <w:t>File</w:t>
            </w:r>
          </w:p>
        </w:tc>
        <w:tc>
          <w:tcPr>
            <w:tcW w:w="2160" w:type="dxa"/>
          </w:tcPr>
          <w:p w14:paraId="1499C789" w14:textId="77777777" w:rsidR="00355B66" w:rsidRDefault="00C56BE8">
            <w:r>
              <w:t>Primary Use</w:t>
            </w:r>
          </w:p>
        </w:tc>
        <w:tc>
          <w:tcPr>
            <w:tcW w:w="2160" w:type="dxa"/>
          </w:tcPr>
          <w:p w14:paraId="6A88906F" w14:textId="77777777" w:rsidR="00355B66" w:rsidRDefault="00C56BE8">
            <w:r>
              <w:t>Course Lessons</w:t>
            </w:r>
          </w:p>
        </w:tc>
      </w:tr>
      <w:tr w:rsidR="00355B66" w14:paraId="55FF4946" w14:textId="77777777">
        <w:tc>
          <w:tcPr>
            <w:tcW w:w="2160" w:type="dxa"/>
          </w:tcPr>
          <w:p w14:paraId="3F8BB878" w14:textId="77777777" w:rsidR="00355B66" w:rsidRDefault="00C56BE8">
            <w:r>
              <w:t>Deliverable 1</w:t>
            </w:r>
          </w:p>
        </w:tc>
        <w:tc>
          <w:tcPr>
            <w:tcW w:w="2160" w:type="dxa"/>
          </w:tcPr>
          <w:p w14:paraId="6E30AE68" w14:textId="77777777" w:rsidR="00355B66" w:rsidRDefault="00C56BE8">
            <w:r>
              <w:t>README – Implementation Guide</w:t>
            </w:r>
          </w:p>
        </w:tc>
        <w:tc>
          <w:tcPr>
            <w:tcW w:w="2160" w:type="dxa"/>
          </w:tcPr>
          <w:p w14:paraId="5C9FAB50" w14:textId="77777777" w:rsidR="00355B66" w:rsidRDefault="00C56BE8">
            <w:r>
              <w:t>How to deploy and operate the playbook end‑to‑end; distribution timing; workflows; role ownership.</w:t>
            </w:r>
          </w:p>
        </w:tc>
        <w:tc>
          <w:tcPr>
            <w:tcW w:w="2160" w:type="dxa"/>
          </w:tcPr>
          <w:p w14:paraId="747C0CAD" w14:textId="77777777" w:rsidR="00355B66" w:rsidRDefault="00C56BE8">
            <w:r>
              <w:t>Lessons 1–16 (Start)</w:t>
            </w:r>
          </w:p>
        </w:tc>
      </w:tr>
      <w:tr w:rsidR="00355B66" w14:paraId="4EA2997F" w14:textId="77777777">
        <w:tc>
          <w:tcPr>
            <w:tcW w:w="2160" w:type="dxa"/>
          </w:tcPr>
          <w:p w14:paraId="3DAAE928" w14:textId="77777777" w:rsidR="00355B66" w:rsidRDefault="00C56BE8">
            <w:r>
              <w:t>Deliverable 2</w:t>
            </w:r>
          </w:p>
        </w:tc>
        <w:tc>
          <w:tcPr>
            <w:tcW w:w="2160" w:type="dxa"/>
          </w:tcPr>
          <w:p w14:paraId="60BF7E7E" w14:textId="77777777" w:rsidR="00355B66" w:rsidRDefault="00C56BE8">
            <w:r>
              <w:t>SPA Template with Annotated Commentary</w:t>
            </w:r>
          </w:p>
        </w:tc>
        <w:tc>
          <w:tcPr>
            <w:tcW w:w="2160" w:type="dxa"/>
          </w:tcPr>
          <w:p w14:paraId="2D64953F" w14:textId="77777777" w:rsidR="00355B66" w:rsidRDefault="00C56BE8">
            <w:r>
              <w:t>Drafting and redlining reference; clause library mapped to risks, schedules, and workbook tabs.</w:t>
            </w:r>
          </w:p>
        </w:tc>
        <w:tc>
          <w:tcPr>
            <w:tcW w:w="2160" w:type="dxa"/>
          </w:tcPr>
          <w:p w14:paraId="06BE53D4" w14:textId="77777777" w:rsidR="00355B66" w:rsidRDefault="00C56BE8">
            <w:r>
              <w:t>Lessons 4–11</w:t>
            </w:r>
          </w:p>
        </w:tc>
      </w:tr>
      <w:tr w:rsidR="00355B66" w14:paraId="5CB93C23" w14:textId="77777777">
        <w:tc>
          <w:tcPr>
            <w:tcW w:w="2160" w:type="dxa"/>
          </w:tcPr>
          <w:p w14:paraId="4EE780CA" w14:textId="77777777" w:rsidR="00355B66" w:rsidRDefault="00C56BE8">
            <w:r>
              <w:t>Deliverable 3</w:t>
            </w:r>
          </w:p>
        </w:tc>
        <w:tc>
          <w:tcPr>
            <w:tcW w:w="2160" w:type="dxa"/>
          </w:tcPr>
          <w:p w14:paraId="2244B58D" w14:textId="77777777" w:rsidR="00355B66" w:rsidRDefault="00C56BE8">
            <w:r>
              <w:t>SPA Signing‑to‑Closing Control Workbook (Excel)</w:t>
            </w:r>
          </w:p>
        </w:tc>
        <w:tc>
          <w:tcPr>
            <w:tcW w:w="2160" w:type="dxa"/>
          </w:tcPr>
          <w:p w14:paraId="40F5B8D7" w14:textId="77777777" w:rsidR="00355B66" w:rsidRDefault="00C56BE8">
            <w:r>
              <w:t>Control tower for hotspots, redlines, schedules, CPs, closing packs, funds flow, and post‑closing.</w:t>
            </w:r>
          </w:p>
        </w:tc>
        <w:tc>
          <w:tcPr>
            <w:tcW w:w="2160" w:type="dxa"/>
          </w:tcPr>
          <w:p w14:paraId="2DC0E90C" w14:textId="77777777" w:rsidR="00355B66" w:rsidRDefault="00C56BE8">
            <w:r>
              <w:t>Lessons 12–16 (Capstone)</w:t>
            </w:r>
          </w:p>
        </w:tc>
      </w:tr>
      <w:tr w:rsidR="00355B66" w14:paraId="7F825EE4" w14:textId="77777777">
        <w:tc>
          <w:tcPr>
            <w:tcW w:w="2160" w:type="dxa"/>
          </w:tcPr>
          <w:p w14:paraId="4944EF32" w14:textId="77777777" w:rsidR="00355B66" w:rsidRDefault="00C56BE8">
            <w:r>
              <w:t>Deliverable 4</w:t>
            </w:r>
          </w:p>
        </w:tc>
        <w:tc>
          <w:tcPr>
            <w:tcW w:w="2160" w:type="dxa"/>
          </w:tcPr>
          <w:p w14:paraId="74991AE4" w14:textId="77777777" w:rsidR="00355B66" w:rsidRDefault="00C56BE8">
            <w:r>
              <w:t>SPA Negotiation Tactics &amp; Closing Execution Manual</w:t>
            </w:r>
          </w:p>
        </w:tc>
        <w:tc>
          <w:tcPr>
            <w:tcW w:w="2160" w:type="dxa"/>
          </w:tcPr>
          <w:p w14:paraId="30A992D7" w14:textId="77777777" w:rsidR="00355B66" w:rsidRDefault="00C56BE8">
            <w:r>
              <w:t>Scenario-based tactics linked to specific SPA clauses, fallbacks, and operational moves.</w:t>
            </w:r>
          </w:p>
        </w:tc>
        <w:tc>
          <w:tcPr>
            <w:tcW w:w="2160" w:type="dxa"/>
          </w:tcPr>
          <w:p w14:paraId="74731F3D" w14:textId="77777777" w:rsidR="00355B66" w:rsidRDefault="00C56BE8">
            <w:r>
              <w:t>Lessons 12–16</w:t>
            </w:r>
          </w:p>
        </w:tc>
      </w:tr>
    </w:tbl>
    <w:p w14:paraId="477F5B38" w14:textId="77777777" w:rsidR="00355B66" w:rsidRDefault="00C56BE8">
      <w:pPr>
        <w:pStyle w:val="Heading2"/>
      </w:pPr>
      <w:r>
        <w:t>Operating Principles</w:t>
      </w:r>
    </w:p>
    <w:p w14:paraId="7BDB6010" w14:textId="77777777" w:rsidR="00355B66" w:rsidRDefault="00C56BE8">
      <w:pPr>
        <w:pStyle w:val="ListBullet"/>
      </w:pPr>
      <w:r>
        <w:t>One source of truth: the Control Workbook is the daily operating system; other documents feed it.</w:t>
      </w:r>
    </w:p>
    <w:p w14:paraId="2A013528" w14:textId="77777777" w:rsidR="00355B66" w:rsidRDefault="00C56BE8">
      <w:pPr>
        <w:pStyle w:val="ListBullet"/>
      </w:pPr>
      <w:r>
        <w:t>Traceability required: DD finding → SPA clause → Disclosure Schedule item → Indemnity/Escrow/CP → owner &amp; deadline.</w:t>
      </w:r>
    </w:p>
    <w:p w14:paraId="0B611660" w14:textId="77777777" w:rsidR="00355B66" w:rsidRDefault="00C56BE8">
      <w:pPr>
        <w:pStyle w:val="ListBullet"/>
      </w:pPr>
      <w:r>
        <w:t>Separate commercial vs legal: escalate only commercial decisions; keep drafting mechanics with counsel.</w:t>
      </w:r>
    </w:p>
    <w:p w14:paraId="26A4285C" w14:textId="77777777" w:rsidR="00355B66" w:rsidRDefault="00C56BE8">
      <w:pPr>
        <w:pStyle w:val="ListBullet"/>
      </w:pPr>
      <w:r>
        <w:t>Version control mandatory: every draft and decision is logged with timestamp and scope.</w:t>
      </w:r>
    </w:p>
    <w:p w14:paraId="02AD0FD7" w14:textId="77777777" w:rsidR="00355B66" w:rsidRDefault="00C56BE8">
      <w:pPr>
        <w:pStyle w:val="ListBullet"/>
      </w:pPr>
      <w:r>
        <w:t>Closing is a project: CPs, consents, certificates, opinions, and funds flow are tracked like a build plan.</w:t>
      </w:r>
    </w:p>
    <w:p w14:paraId="44456A58" w14:textId="77777777" w:rsidR="00355B66" w:rsidRDefault="00C56BE8">
      <w:pPr>
        <w:pStyle w:val="Heading2"/>
      </w:pPr>
      <w:r>
        <w:lastRenderedPageBreak/>
        <w:t>Roles &amp; Ownership (RACI)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7"/>
        <w:gridCol w:w="1728"/>
        <w:gridCol w:w="1728"/>
        <w:gridCol w:w="1728"/>
        <w:gridCol w:w="1728"/>
      </w:tblGrid>
      <w:tr w:rsidR="00355B66" w14:paraId="01777355" w14:textId="77777777">
        <w:tc>
          <w:tcPr>
            <w:tcW w:w="1728" w:type="dxa"/>
          </w:tcPr>
          <w:p w14:paraId="360D9780" w14:textId="77777777" w:rsidR="00355B66" w:rsidRDefault="00C56BE8">
            <w:r>
              <w:t>Workstream</w:t>
            </w:r>
          </w:p>
        </w:tc>
        <w:tc>
          <w:tcPr>
            <w:tcW w:w="1728" w:type="dxa"/>
          </w:tcPr>
          <w:p w14:paraId="4279D8B3" w14:textId="77777777" w:rsidR="00355B66" w:rsidRDefault="00C56BE8">
            <w:r>
              <w:t>Responsible (R)</w:t>
            </w:r>
          </w:p>
        </w:tc>
        <w:tc>
          <w:tcPr>
            <w:tcW w:w="1728" w:type="dxa"/>
          </w:tcPr>
          <w:p w14:paraId="577B24A4" w14:textId="77777777" w:rsidR="00355B66" w:rsidRDefault="00C56BE8">
            <w:r>
              <w:t>Accountable (A)</w:t>
            </w:r>
          </w:p>
        </w:tc>
        <w:tc>
          <w:tcPr>
            <w:tcW w:w="1728" w:type="dxa"/>
          </w:tcPr>
          <w:p w14:paraId="2A398AB6" w14:textId="77777777" w:rsidR="00355B66" w:rsidRDefault="00C56BE8">
            <w:r>
              <w:t>Consulted (C)</w:t>
            </w:r>
          </w:p>
        </w:tc>
        <w:tc>
          <w:tcPr>
            <w:tcW w:w="1728" w:type="dxa"/>
          </w:tcPr>
          <w:p w14:paraId="7C8B2781" w14:textId="77777777" w:rsidR="00355B66" w:rsidRDefault="00C56BE8">
            <w:r>
              <w:t>Informed (I)</w:t>
            </w:r>
          </w:p>
        </w:tc>
      </w:tr>
      <w:tr w:rsidR="00355B66" w14:paraId="029BF195" w14:textId="77777777">
        <w:tc>
          <w:tcPr>
            <w:tcW w:w="1728" w:type="dxa"/>
          </w:tcPr>
          <w:p w14:paraId="5E9033E8" w14:textId="77777777" w:rsidR="00355B66" w:rsidRDefault="00C56BE8">
            <w:r>
              <w:t>SPA drafting &amp; redlines</w:t>
            </w:r>
          </w:p>
        </w:tc>
        <w:tc>
          <w:tcPr>
            <w:tcW w:w="1728" w:type="dxa"/>
          </w:tcPr>
          <w:p w14:paraId="5D2435AE" w14:textId="77777777" w:rsidR="00355B66" w:rsidRDefault="00C56BE8">
            <w:r>
              <w:t>External legal (lead associate)</w:t>
            </w:r>
          </w:p>
        </w:tc>
        <w:tc>
          <w:tcPr>
            <w:tcW w:w="1728" w:type="dxa"/>
          </w:tcPr>
          <w:p w14:paraId="512C36D1" w14:textId="77777777" w:rsidR="00355B66" w:rsidRDefault="00C56BE8">
            <w:r>
              <w:t>Buyer deal lead</w:t>
            </w:r>
          </w:p>
        </w:tc>
        <w:tc>
          <w:tcPr>
            <w:tcW w:w="1728" w:type="dxa"/>
          </w:tcPr>
          <w:p w14:paraId="283FCB44" w14:textId="77777777" w:rsidR="00355B66" w:rsidRDefault="00C56BE8">
            <w:r>
              <w:t>In‑house legal; finance; tax</w:t>
            </w:r>
          </w:p>
        </w:tc>
        <w:tc>
          <w:tcPr>
            <w:tcW w:w="1728" w:type="dxa"/>
          </w:tcPr>
          <w:p w14:paraId="3265B34A" w14:textId="77777777" w:rsidR="00355B66" w:rsidRDefault="00C56BE8">
            <w:r>
              <w:t>IC/Board</w:t>
            </w:r>
          </w:p>
        </w:tc>
      </w:tr>
      <w:tr w:rsidR="00355B66" w14:paraId="4D502AE5" w14:textId="77777777">
        <w:tc>
          <w:tcPr>
            <w:tcW w:w="1728" w:type="dxa"/>
          </w:tcPr>
          <w:p w14:paraId="338F907C" w14:textId="77777777" w:rsidR="00355B66" w:rsidRDefault="00C56BE8">
            <w:r>
              <w:t>Purchase price mechanics (WC/ND/expenses)</w:t>
            </w:r>
          </w:p>
        </w:tc>
        <w:tc>
          <w:tcPr>
            <w:tcW w:w="1728" w:type="dxa"/>
          </w:tcPr>
          <w:p w14:paraId="25A6B719" w14:textId="77777777" w:rsidR="00355B66" w:rsidRDefault="00C56BE8">
            <w:r>
              <w:t>Accounting advisor + finance</w:t>
            </w:r>
          </w:p>
        </w:tc>
        <w:tc>
          <w:tcPr>
            <w:tcW w:w="1728" w:type="dxa"/>
          </w:tcPr>
          <w:p w14:paraId="07CB0098" w14:textId="77777777" w:rsidR="00355B66" w:rsidRDefault="00C56BE8">
            <w:r>
              <w:t>Buyer CFO/Deal lead</w:t>
            </w:r>
          </w:p>
        </w:tc>
        <w:tc>
          <w:tcPr>
            <w:tcW w:w="1728" w:type="dxa"/>
          </w:tcPr>
          <w:p w14:paraId="11E277C7" w14:textId="77777777" w:rsidR="00355B66" w:rsidRDefault="00C56BE8">
            <w:r>
              <w:t>Seller finance; audit; tax</w:t>
            </w:r>
          </w:p>
        </w:tc>
        <w:tc>
          <w:tcPr>
            <w:tcW w:w="1728" w:type="dxa"/>
          </w:tcPr>
          <w:p w14:paraId="3819B561" w14:textId="77777777" w:rsidR="00355B66" w:rsidRDefault="00C56BE8">
            <w:r>
              <w:t>IC/Board</w:t>
            </w:r>
          </w:p>
        </w:tc>
      </w:tr>
      <w:tr w:rsidR="00355B66" w14:paraId="44BB1C41" w14:textId="77777777">
        <w:tc>
          <w:tcPr>
            <w:tcW w:w="1728" w:type="dxa"/>
          </w:tcPr>
          <w:p w14:paraId="178A792C" w14:textId="77777777" w:rsidR="00355B66" w:rsidRDefault="00C56BE8">
            <w:r>
              <w:t>Disclosure schedules build</w:t>
            </w:r>
          </w:p>
        </w:tc>
        <w:tc>
          <w:tcPr>
            <w:tcW w:w="1728" w:type="dxa"/>
          </w:tcPr>
          <w:p w14:paraId="365748A1" w14:textId="77777777" w:rsidR="00355B66" w:rsidRDefault="00C56BE8">
            <w:r>
              <w:t>Seller in‑house legal</w:t>
            </w:r>
          </w:p>
        </w:tc>
        <w:tc>
          <w:tcPr>
            <w:tcW w:w="1728" w:type="dxa"/>
          </w:tcPr>
          <w:p w14:paraId="4D8A1271" w14:textId="77777777" w:rsidR="00355B66" w:rsidRDefault="00C56BE8">
            <w:r>
              <w:t>Seller GC</w:t>
            </w:r>
          </w:p>
        </w:tc>
        <w:tc>
          <w:tcPr>
            <w:tcW w:w="1728" w:type="dxa"/>
          </w:tcPr>
          <w:p w14:paraId="44F25D9B" w14:textId="77777777" w:rsidR="00355B66" w:rsidRDefault="00C56BE8">
            <w:r>
              <w:t>Functional owners (HR, IT, IP, Ops)</w:t>
            </w:r>
          </w:p>
        </w:tc>
        <w:tc>
          <w:tcPr>
            <w:tcW w:w="1728" w:type="dxa"/>
          </w:tcPr>
          <w:p w14:paraId="20FDD402" w14:textId="77777777" w:rsidR="00355B66" w:rsidRDefault="00C56BE8">
            <w:r>
              <w:t>Buyer legal/deal lead</w:t>
            </w:r>
          </w:p>
        </w:tc>
      </w:tr>
      <w:tr w:rsidR="00355B66" w14:paraId="4989A2E7" w14:textId="77777777">
        <w:tc>
          <w:tcPr>
            <w:tcW w:w="1728" w:type="dxa"/>
          </w:tcPr>
          <w:p w14:paraId="5937C70C" w14:textId="77777777" w:rsidR="00355B66" w:rsidRDefault="00C56BE8">
            <w:r>
              <w:t>Indemnity/Escrow architecture</w:t>
            </w:r>
          </w:p>
        </w:tc>
        <w:tc>
          <w:tcPr>
            <w:tcW w:w="1728" w:type="dxa"/>
          </w:tcPr>
          <w:p w14:paraId="4BDC049B" w14:textId="77777777" w:rsidR="00355B66" w:rsidRDefault="00C56BE8">
            <w:r>
              <w:t>Buyer legal + deal lead</w:t>
            </w:r>
          </w:p>
        </w:tc>
        <w:tc>
          <w:tcPr>
            <w:tcW w:w="1728" w:type="dxa"/>
          </w:tcPr>
          <w:p w14:paraId="52A981B4" w14:textId="77777777" w:rsidR="00355B66" w:rsidRDefault="00C56BE8">
            <w:r>
              <w:t>Buyer IC sponsor</w:t>
            </w:r>
          </w:p>
        </w:tc>
        <w:tc>
          <w:tcPr>
            <w:tcW w:w="1728" w:type="dxa"/>
          </w:tcPr>
          <w:p w14:paraId="4BE1B699" w14:textId="77777777" w:rsidR="00355B66" w:rsidRDefault="00C56BE8">
            <w:r>
              <w:t>R&amp;W insurer; escrow agent; tax</w:t>
            </w:r>
          </w:p>
        </w:tc>
        <w:tc>
          <w:tcPr>
            <w:tcW w:w="1728" w:type="dxa"/>
          </w:tcPr>
          <w:p w14:paraId="2D26EE1D" w14:textId="77777777" w:rsidR="00355B66" w:rsidRDefault="00C56BE8">
            <w:r>
              <w:t>Finance; integration</w:t>
            </w:r>
          </w:p>
        </w:tc>
      </w:tr>
      <w:tr w:rsidR="00355B66" w14:paraId="1407AE59" w14:textId="77777777">
        <w:tc>
          <w:tcPr>
            <w:tcW w:w="1728" w:type="dxa"/>
          </w:tcPr>
          <w:p w14:paraId="403B65FD" w14:textId="77777777" w:rsidR="00355B66" w:rsidRDefault="00C56BE8">
            <w:r>
              <w:t>CP/Reg/Consents tracker</w:t>
            </w:r>
          </w:p>
        </w:tc>
        <w:tc>
          <w:tcPr>
            <w:tcW w:w="1728" w:type="dxa"/>
          </w:tcPr>
          <w:p w14:paraId="41C46E3B" w14:textId="77777777" w:rsidR="00355B66" w:rsidRDefault="00C56BE8">
            <w:r>
              <w:t>PMO/Deal ops</w:t>
            </w:r>
          </w:p>
        </w:tc>
        <w:tc>
          <w:tcPr>
            <w:tcW w:w="1728" w:type="dxa"/>
          </w:tcPr>
          <w:p w14:paraId="27C5A6AD" w14:textId="77777777" w:rsidR="00355B66" w:rsidRDefault="00C56BE8">
            <w:r>
              <w:t>Buyer deal lead</w:t>
            </w:r>
          </w:p>
        </w:tc>
        <w:tc>
          <w:tcPr>
            <w:tcW w:w="1728" w:type="dxa"/>
          </w:tcPr>
          <w:p w14:paraId="6497FB22" w14:textId="77777777" w:rsidR="00355B66" w:rsidRDefault="00C56BE8">
            <w:r>
              <w:t>Reg counsel; business owners</w:t>
            </w:r>
          </w:p>
        </w:tc>
        <w:tc>
          <w:tcPr>
            <w:tcW w:w="1728" w:type="dxa"/>
          </w:tcPr>
          <w:p w14:paraId="358A41B6" w14:textId="77777777" w:rsidR="00355B66" w:rsidRDefault="00C56BE8">
            <w:r>
              <w:t>All workstreams</w:t>
            </w:r>
          </w:p>
        </w:tc>
      </w:tr>
      <w:tr w:rsidR="00355B66" w14:paraId="10962E0E" w14:textId="77777777">
        <w:tc>
          <w:tcPr>
            <w:tcW w:w="1728" w:type="dxa"/>
          </w:tcPr>
          <w:p w14:paraId="05B84DE6" w14:textId="77777777" w:rsidR="00355B66" w:rsidRDefault="00C56BE8">
            <w:r>
              <w:t>Closing pack &amp; closing memo</w:t>
            </w:r>
          </w:p>
        </w:tc>
        <w:tc>
          <w:tcPr>
            <w:tcW w:w="1728" w:type="dxa"/>
          </w:tcPr>
          <w:p w14:paraId="0A912190" w14:textId="77777777" w:rsidR="00355B66" w:rsidRDefault="00C56BE8">
            <w:r>
              <w:t>External legal + deal ops</w:t>
            </w:r>
          </w:p>
        </w:tc>
        <w:tc>
          <w:tcPr>
            <w:tcW w:w="1728" w:type="dxa"/>
          </w:tcPr>
          <w:p w14:paraId="7CC13CD8" w14:textId="77777777" w:rsidR="00355B66" w:rsidRDefault="00C56BE8">
            <w:r>
              <w:t>Buyer deal lead</w:t>
            </w:r>
          </w:p>
        </w:tc>
        <w:tc>
          <w:tcPr>
            <w:tcW w:w="1728" w:type="dxa"/>
          </w:tcPr>
          <w:p w14:paraId="1C4818C4" w14:textId="77777777" w:rsidR="00355B66" w:rsidRDefault="00C56BE8">
            <w:r>
              <w:t>Banks; escrow; seller counsel</w:t>
            </w:r>
          </w:p>
        </w:tc>
        <w:tc>
          <w:tcPr>
            <w:tcW w:w="1728" w:type="dxa"/>
          </w:tcPr>
          <w:p w14:paraId="14EAD911" w14:textId="77777777" w:rsidR="00355B66" w:rsidRDefault="00C56BE8">
            <w:r>
              <w:t>IC/Board</w:t>
            </w:r>
          </w:p>
        </w:tc>
      </w:tr>
    </w:tbl>
    <w:p w14:paraId="6C71907F" w14:textId="77777777" w:rsidR="00355B66" w:rsidRDefault="00C56BE8">
      <w:pPr>
        <w:pStyle w:val="Heading2"/>
      </w:pPr>
      <w:r>
        <w:t>How to Use the Playbook – End-to-End Workflow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355B66" w14:paraId="64878E20" w14:textId="77777777">
        <w:tc>
          <w:tcPr>
            <w:tcW w:w="4320" w:type="dxa"/>
          </w:tcPr>
          <w:p w14:paraId="5BC147EE" w14:textId="77777777" w:rsidR="00355B66" w:rsidRDefault="00C56BE8">
            <w:r>
              <w:t>Course Window</w:t>
            </w:r>
          </w:p>
        </w:tc>
        <w:tc>
          <w:tcPr>
            <w:tcW w:w="4320" w:type="dxa"/>
          </w:tcPr>
          <w:p w14:paraId="20F14F9A" w14:textId="77777777" w:rsidR="00355B66" w:rsidRDefault="00C56BE8">
            <w:r>
              <w:t>Operational Actions (Student Outputs)</w:t>
            </w:r>
          </w:p>
        </w:tc>
      </w:tr>
      <w:tr w:rsidR="00355B66" w14:paraId="7EE16509" w14:textId="77777777">
        <w:tc>
          <w:tcPr>
            <w:tcW w:w="4320" w:type="dxa"/>
          </w:tcPr>
          <w:p w14:paraId="3F6450E5" w14:textId="77777777" w:rsidR="00355B66" w:rsidRDefault="00C56BE8">
            <w:r>
              <w:t>Lesson 1–3 (Roadmap &amp; Setup)</w:t>
            </w:r>
          </w:p>
        </w:tc>
        <w:tc>
          <w:tcPr>
            <w:tcW w:w="4320" w:type="dxa"/>
          </w:tcPr>
          <w:p w14:paraId="068030EB" w14:textId="77777777" w:rsidR="00355B66" w:rsidRDefault="00C56BE8">
            <w:r>
              <w:t>Set timeline, critical path, counsel instruction letter, workstream ownership. Initialize Workbook Tabs A–D (skeleton only).</w:t>
            </w:r>
          </w:p>
        </w:tc>
      </w:tr>
      <w:tr w:rsidR="00355B66" w14:paraId="2CF8E528" w14:textId="77777777">
        <w:tc>
          <w:tcPr>
            <w:tcW w:w="4320" w:type="dxa"/>
          </w:tcPr>
          <w:p w14:paraId="27EDF6EB" w14:textId="77777777" w:rsidR="00355B66" w:rsidRDefault="00C56BE8">
            <w:r>
              <w:t>Lesson 4–5 (SPA structure &amp; price)</w:t>
            </w:r>
          </w:p>
        </w:tc>
        <w:tc>
          <w:tcPr>
            <w:tcW w:w="4320" w:type="dxa"/>
          </w:tcPr>
          <w:p w14:paraId="6F265788" w14:textId="77777777" w:rsidR="00355B66" w:rsidRDefault="00C56BE8">
            <w:r>
              <w:t>Populate Articles I–II. Draft WC/ND adjustment definitions, peg, and dispute mechanics. Log open points in Tab A (Hotspots) and Tab B (Redline Log).</w:t>
            </w:r>
          </w:p>
        </w:tc>
      </w:tr>
      <w:tr w:rsidR="00355B66" w14:paraId="1536CEF7" w14:textId="77777777">
        <w:tc>
          <w:tcPr>
            <w:tcW w:w="4320" w:type="dxa"/>
          </w:tcPr>
          <w:p w14:paraId="637C06F9" w14:textId="77777777" w:rsidR="00355B66" w:rsidRDefault="00C56BE8">
            <w:r>
              <w:t>Lesson 6–8 (R&amp;W, Schedules, Indemnity)</w:t>
            </w:r>
          </w:p>
        </w:tc>
        <w:tc>
          <w:tcPr>
            <w:tcW w:w="4320" w:type="dxa"/>
          </w:tcPr>
          <w:p w14:paraId="28245753" w14:textId="77777777" w:rsidR="00355B66" w:rsidRDefault="00C56BE8">
            <w:r>
              <w:t>For each DD risk: map to (i) R&amp;W, (ii) disclosure, (iii) specific indemnity, (iv) escrow/holdback, (v) RWI, (vi) CP. Track in Tabs A–C and Tab F.</w:t>
            </w:r>
          </w:p>
        </w:tc>
      </w:tr>
      <w:tr w:rsidR="00355B66" w14:paraId="7EDC0905" w14:textId="77777777">
        <w:tc>
          <w:tcPr>
            <w:tcW w:w="4320" w:type="dxa"/>
          </w:tcPr>
          <w:p w14:paraId="72AE9BF7" w14:textId="77777777" w:rsidR="00355B66" w:rsidRDefault="00C56BE8">
            <w:r>
              <w:t>Lesson 9–11 (Covenants, CPs, Termination)</w:t>
            </w:r>
          </w:p>
        </w:tc>
        <w:tc>
          <w:tcPr>
            <w:tcW w:w="4320" w:type="dxa"/>
          </w:tcPr>
          <w:p w14:paraId="2FA24273" w14:textId="77777777" w:rsidR="00355B66" w:rsidRDefault="00C56BE8">
            <w:r>
              <w:t>Define interim operating controls, access rights, consents, filings, MAC/MAE, cure/waiver, drop‑dead, remedies. Track tasks in Tab D with owners/deadlines/evidence links.</w:t>
            </w:r>
          </w:p>
        </w:tc>
      </w:tr>
      <w:tr w:rsidR="00355B66" w14:paraId="61B12795" w14:textId="77777777">
        <w:tc>
          <w:tcPr>
            <w:tcW w:w="4320" w:type="dxa"/>
          </w:tcPr>
          <w:p w14:paraId="5A52FD73" w14:textId="77777777" w:rsidR="00355B66" w:rsidRDefault="00C56BE8">
            <w:r>
              <w:t>Lesson 12–13 (Redline tactics &amp; counsel)</w:t>
            </w:r>
          </w:p>
        </w:tc>
        <w:tc>
          <w:tcPr>
            <w:tcW w:w="4320" w:type="dxa"/>
          </w:tcPr>
          <w:p w14:paraId="3CD20FB3" w14:textId="77777777" w:rsidR="00355B66" w:rsidRDefault="00C56BE8">
            <w:r>
              <w:t>Run redline rounds. Every round: export compare, update Tab B, refresh Tab A priorities, and issue a weekly Decision Packet for escalations.</w:t>
            </w:r>
          </w:p>
        </w:tc>
      </w:tr>
      <w:tr w:rsidR="00355B66" w14:paraId="1F368FD3" w14:textId="77777777">
        <w:tc>
          <w:tcPr>
            <w:tcW w:w="4320" w:type="dxa"/>
          </w:tcPr>
          <w:p w14:paraId="64486BFF" w14:textId="77777777" w:rsidR="00355B66" w:rsidRDefault="00C56BE8">
            <w:r>
              <w:t>Lesson 14–16 (Closing prep, closing day, post‑closing)</w:t>
            </w:r>
          </w:p>
        </w:tc>
        <w:tc>
          <w:tcPr>
            <w:tcW w:w="4320" w:type="dxa"/>
          </w:tcPr>
          <w:p w14:paraId="496412EB" w14:textId="77777777" w:rsidR="00355B66" w:rsidRDefault="00C56BE8">
            <w:r>
              <w:t>Build closing checklist and deliverables pack (Tab E), closing memo, funds flow (Tab F). After closing: true‑up, earnout, escrow releases, claims management in Tab F.</w:t>
            </w:r>
          </w:p>
        </w:tc>
      </w:tr>
    </w:tbl>
    <w:p w14:paraId="0B384BF3" w14:textId="77777777" w:rsidR="00355B66" w:rsidRDefault="00C56BE8">
      <w:pPr>
        <w:pStyle w:val="Heading2"/>
      </w:pPr>
      <w:r>
        <w:lastRenderedPageBreak/>
        <w:t>JCinus–Micron Scenario Inputs (Baseline Assumptions)</w:t>
      </w:r>
    </w:p>
    <w:p w14:paraId="09C668E5" w14:textId="77777777" w:rsidR="00355B66" w:rsidRDefault="00C56BE8">
      <w:pPr>
        <w:pStyle w:val="ListBullet"/>
      </w:pPr>
      <w:r>
        <w:t>Transaction: 100% share acquisition of Micron DRAM Division via Delaware-law SPA; signing-to-closing gap assumed 10–24 weeks (regulatory &amp; consents).</w:t>
      </w:r>
    </w:p>
    <w:p w14:paraId="1BB2D4D6" w14:textId="77777777" w:rsidR="00355B66" w:rsidRDefault="00C56BE8">
      <w:pPr>
        <w:pStyle w:val="ListBullet"/>
      </w:pPr>
      <w:r>
        <w:t>Base purchase price (illustrative): $4.6B; completion accounts with Target Working Capital $450M; debt-free, cash-free adjustment; transaction expenses per agreed definitions.</w:t>
      </w:r>
    </w:p>
    <w:p w14:paraId="369BDFB3" w14:textId="77777777" w:rsidR="00355B66" w:rsidRDefault="00C56BE8">
      <w:pPr>
        <w:pStyle w:val="ListBullet"/>
      </w:pPr>
      <w:r>
        <w:t>Key DD hotspots (illustrative): inventory reserve adequacy, customer concentration (Apple), IP/patent litigation exposure, transfer pricing/tax audits, export controls and cross-border approvals, key engineer retention.</w:t>
      </w:r>
    </w:p>
    <w:p w14:paraId="14E19439" w14:textId="77777777" w:rsidR="00355B66" w:rsidRDefault="00C56BE8">
      <w:pPr>
        <w:pStyle w:val="ListBullet"/>
      </w:pPr>
      <w:r>
        <w:t>Risk tools available: specific indemnities, special escrows, general escrow, basket/cap, R&amp;W insurance, interim covenants, CP gating, termination rights and remedies.</w:t>
      </w:r>
    </w:p>
    <w:p w14:paraId="2CFFF90B" w14:textId="77777777" w:rsidR="00355B66" w:rsidRDefault="00C56BE8">
      <w:pPr>
        <w:pStyle w:val="ListBullet"/>
      </w:pPr>
      <w:r>
        <w:t>Closing deliverables: bring-down certificates, board/shareholder approvals, legal opinions, good standing certificates, officer resignations, funds flow memo, escrow agreement, ancillary agreements (TSA/employment/non-compete).</w:t>
      </w:r>
    </w:p>
    <w:p w14:paraId="7301E685" w14:textId="77777777" w:rsidR="00355B66" w:rsidRDefault="00C56BE8">
      <w:pPr>
        <w:pStyle w:val="Heading2"/>
      </w:pPr>
      <w:r>
        <w:t>Daily/Weekly Cadence</w:t>
      </w:r>
    </w:p>
    <w:p w14:paraId="2AF5801E" w14:textId="77777777" w:rsidR="00355B66" w:rsidRDefault="00C56BE8">
      <w:pPr>
        <w:pStyle w:val="ListBullet"/>
      </w:pPr>
      <w:r>
        <w:t>Daily: update Tab D (CP tracker) and Tab B (redline log) for any new drafts or conditions/consents progress.</w:t>
      </w:r>
    </w:p>
    <w:p w14:paraId="2740C5DB" w14:textId="77777777" w:rsidR="00355B66" w:rsidRDefault="00C56BE8">
      <w:pPr>
        <w:pStyle w:val="ListBullet"/>
      </w:pPr>
      <w:r>
        <w:t>Twice weekly: 30-minute issue triage; refresh Tab A priorities; assign owners and deadlines.</w:t>
      </w:r>
    </w:p>
    <w:p w14:paraId="7AF33CEB" w14:textId="77777777" w:rsidR="00355B66" w:rsidRDefault="00C56BE8">
      <w:pPr>
        <w:pStyle w:val="ListBullet"/>
      </w:pPr>
      <w:r>
        <w:t>Weekly: circulate Decision Packet (top open issues with options, recommendation, decision owner).</w:t>
      </w:r>
    </w:p>
    <w:p w14:paraId="607505D2" w14:textId="77777777" w:rsidR="00355B66" w:rsidRDefault="00C56BE8">
      <w:pPr>
        <w:pStyle w:val="ListBullet"/>
      </w:pPr>
      <w:r>
        <w:t>Pre-closing (T-10 to T-0): run closing rehearsal; lock closing memo; confirm bank wiring and signature authority.</w:t>
      </w:r>
    </w:p>
    <w:p w14:paraId="046D2C46" w14:textId="77777777" w:rsidR="00355B66" w:rsidRDefault="00C56BE8">
      <w:pPr>
        <w:pStyle w:val="Heading2"/>
      </w:pPr>
      <w:r>
        <w:t>Appendix – Instruction Letter Outline (Buyer to External Counsel)</w:t>
      </w:r>
    </w:p>
    <w:p w14:paraId="6B482AE1" w14:textId="77777777" w:rsidR="00355B66" w:rsidRDefault="00C56BE8">
      <w:pPr>
        <w:pStyle w:val="ListNumber"/>
      </w:pPr>
      <w:r>
        <w:t>Deal summary and target structure; governing law preference; dispute forum preference.</w:t>
      </w:r>
    </w:p>
    <w:p w14:paraId="4AA1F572" w14:textId="77777777" w:rsidR="00355B66" w:rsidRDefault="00C56BE8">
      <w:pPr>
        <w:pStyle w:val="ListNumber"/>
      </w:pPr>
      <w:r>
        <w:t>Negotiation guardrails: basket/cap range; escrow size; survival periods; MAE position; sandbagging stance; exclusive remedy.</w:t>
      </w:r>
    </w:p>
    <w:p w14:paraId="4251EC0F" w14:textId="77777777" w:rsidR="00355B66" w:rsidRDefault="00C56BE8">
      <w:pPr>
        <w:pStyle w:val="ListNumber"/>
      </w:pPr>
      <w:r>
        <w:t>DD red flags and required protections (specific indemnities/escrows/CPs).</w:t>
      </w:r>
    </w:p>
    <w:p w14:paraId="5BD9C687" w14:textId="77777777" w:rsidR="00355B66" w:rsidRDefault="00C56BE8">
      <w:pPr>
        <w:pStyle w:val="ListNumber"/>
      </w:pPr>
      <w:r>
        <w:t>Drafting responsibilities: who drafts which schedules/exhibits; coordination with accountants and tax.</w:t>
      </w:r>
    </w:p>
    <w:p w14:paraId="4CA20308" w14:textId="77777777" w:rsidR="00355B66" w:rsidRDefault="00C56BE8">
      <w:pPr>
        <w:pStyle w:val="ListNumber"/>
      </w:pPr>
      <w:r>
        <w:t>Timeline milestones: first draft date; redline rounds; signing target; CP tracking cadence; closing pack deadline.</w:t>
      </w:r>
    </w:p>
    <w:p w14:paraId="7E5B2983" w14:textId="77777777" w:rsidR="00355B66" w:rsidRDefault="00C56BE8">
      <w:pPr>
        <w:pStyle w:val="ListNumber"/>
      </w:pPr>
      <w:r>
        <w:t>Billing protocol: staffing expectations, budget cap, invoice detail requirements.</w:t>
      </w:r>
    </w:p>
    <w:sectPr w:rsidR="00355B6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96278086">
    <w:abstractNumId w:val="8"/>
  </w:num>
  <w:num w:numId="2" w16cid:durableId="340737395">
    <w:abstractNumId w:val="6"/>
  </w:num>
  <w:num w:numId="3" w16cid:durableId="1772553489">
    <w:abstractNumId w:val="5"/>
  </w:num>
  <w:num w:numId="4" w16cid:durableId="137111639">
    <w:abstractNumId w:val="4"/>
  </w:num>
  <w:num w:numId="5" w16cid:durableId="725958920">
    <w:abstractNumId w:val="7"/>
  </w:num>
  <w:num w:numId="6" w16cid:durableId="194344265">
    <w:abstractNumId w:val="3"/>
  </w:num>
  <w:num w:numId="7" w16cid:durableId="110127460">
    <w:abstractNumId w:val="2"/>
  </w:num>
  <w:num w:numId="8" w16cid:durableId="1775638229">
    <w:abstractNumId w:val="1"/>
  </w:num>
  <w:num w:numId="9" w16cid:durableId="522859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55B66"/>
    <w:rsid w:val="00AA1D8D"/>
    <w:rsid w:val="00B47730"/>
    <w:rsid w:val="00C56BE8"/>
    <w:rsid w:val="00CB0664"/>
    <w:rsid w:val="00D360D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9A62631D-6920-4075-9F7D-B223CC6BE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863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JC Academy of Finance Ltd UK</cp:lastModifiedBy>
  <cp:revision>2</cp:revision>
  <dcterms:created xsi:type="dcterms:W3CDTF">2013-12-23T23:15:00Z</dcterms:created>
  <dcterms:modified xsi:type="dcterms:W3CDTF">2026-02-03T15:21:00Z</dcterms:modified>
  <cp:category/>
</cp:coreProperties>
</file>